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png" ContentType="image/png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4913" w14:textId="77777777" w:rsidR="00CC5565" w:rsidRDefault="00CC5565" w:rsidP="00862AD8">
      <w:pPr>
        <w:keepNext/>
        <w:keepLines/>
        <w:spacing w:before="200" w:after="0"/>
        <w:outlineLvl w:val="1"/>
        <w:rPr>
          <w:rFonts w:asciiTheme="majorHAnsi" w:eastAsiaTheme="majorEastAsia" w:hAnsiTheme="majorHAnsi" w:cs="Times New Roman"/>
          <w:b/>
          <w:bCs/>
          <w:color w:val="4F81BD" w:themeColor="accent1"/>
          <w:sz w:val="26"/>
          <w:szCs w:val="26"/>
          <w:lang w:val="en-CA"/>
        </w:rPr>
      </w:pPr>
      <w:r>
        <w:rPr>
          <w:rFonts w:asciiTheme="majorHAnsi" w:eastAsiaTheme="majorEastAsia" w:hAnsiTheme="majorHAnsi" w:cs="Times New Roman"/>
          <w:b/>
          <w:bCs/>
          <w:noProof/>
          <w:color w:val="4F81BD" w:themeColor="accent1"/>
          <w:sz w:val="26"/>
          <w:szCs w:val="26"/>
          <w:lang w:val="en-CA"/>
        </w:rPr>
        <w:drawing>
          <wp:anchor distT="0" distB="0" distL="114300" distR="114300" simplePos="0" relativeHeight="251658240" behindDoc="0" locked="0" layoutInCell="1" allowOverlap="1" wp14:anchorId="09ED591F" wp14:editId="6975A242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1356360" cy="1136785"/>
            <wp:effectExtent l="0" t="0" r="0" b="6350"/>
            <wp:wrapThrough wrapText="bothSides">
              <wp:wrapPolygon edited="0">
                <wp:start x="0" y="0"/>
                <wp:lineTo x="0" y="21359"/>
                <wp:lineTo x="21236" y="21359"/>
                <wp:lineTo x="212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U Logo_4C_Ver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EB965" w14:textId="05ACF4B4" w:rsidR="00862AD8" w:rsidRPr="00862AD8" w:rsidRDefault="00862AD8" w:rsidP="00862AD8">
      <w:pPr>
        <w:keepNext/>
        <w:keepLines/>
        <w:spacing w:before="200" w:after="0"/>
        <w:outlineLvl w:val="1"/>
        <w:rPr>
          <w:rFonts w:asciiTheme="majorHAnsi" w:eastAsiaTheme="majorEastAsia" w:hAnsiTheme="majorHAnsi" w:cs="Times New Roman"/>
          <w:b/>
          <w:bCs/>
          <w:color w:val="4F81BD" w:themeColor="accent1"/>
          <w:sz w:val="26"/>
          <w:szCs w:val="26"/>
          <w:lang w:val="en-CA"/>
        </w:rPr>
      </w:pPr>
      <w:r w:rsidRPr="00862AD8">
        <w:rPr>
          <w:rFonts w:asciiTheme="majorHAnsi" w:eastAsiaTheme="majorEastAsia" w:hAnsiTheme="majorHAnsi" w:cs="Times New Roman"/>
          <w:b/>
          <w:bCs/>
          <w:color w:val="4F81BD" w:themeColor="accent1"/>
          <w:sz w:val="26"/>
          <w:szCs w:val="26"/>
          <w:lang w:val="en-CA"/>
        </w:rPr>
        <w:t xml:space="preserve">“Everyone Counts” – RRU’s Equity, Diversity and Inclusion </w:t>
      </w:r>
      <w:r w:rsidR="00D74D27">
        <w:rPr>
          <w:rFonts w:asciiTheme="majorHAnsi" w:eastAsiaTheme="majorEastAsia" w:hAnsiTheme="majorHAnsi" w:cs="Times New Roman"/>
          <w:b/>
          <w:bCs/>
          <w:color w:val="4F81BD" w:themeColor="accent1"/>
          <w:sz w:val="26"/>
          <w:szCs w:val="26"/>
          <w:lang w:val="en-CA"/>
        </w:rPr>
        <w:t>survey</w:t>
      </w:r>
      <w:r w:rsidRPr="00862AD8">
        <w:rPr>
          <w:rFonts w:asciiTheme="majorHAnsi" w:eastAsiaTheme="majorEastAsia" w:hAnsiTheme="majorHAnsi" w:cs="Times New Roman"/>
          <w:b/>
          <w:bCs/>
          <w:color w:val="4F81BD" w:themeColor="accent1"/>
          <w:sz w:val="26"/>
          <w:szCs w:val="26"/>
          <w:lang w:val="en-CA"/>
        </w:rPr>
        <w:t xml:space="preserve"> – May 2019</w:t>
      </w:r>
    </w:p>
    <w:p w14:paraId="7D8D3025" w14:textId="77777777" w:rsidR="00B515C3" w:rsidRDefault="00B515C3" w:rsidP="00862AD8">
      <w:pPr>
        <w:rPr>
          <w:rFonts w:eastAsia="Times New Roman" w:cs="Times New Roman"/>
          <w:b/>
          <w:sz w:val="28"/>
          <w:szCs w:val="28"/>
          <w:lang w:val="en-CA"/>
        </w:rPr>
      </w:pPr>
    </w:p>
    <w:p w14:paraId="5179FBCA" w14:textId="5315C724" w:rsidR="00D1250A" w:rsidRDefault="00D1250A" w:rsidP="00D1250A">
      <w:r>
        <w:t xml:space="preserve">Thank you for participating in the first </w:t>
      </w:r>
      <w:r w:rsidRPr="00CC5565">
        <w:rPr>
          <w:i/>
        </w:rPr>
        <w:t>Everyone Counts</w:t>
      </w:r>
      <w:r>
        <w:t xml:space="preserve"> </w:t>
      </w:r>
      <w:r w:rsidR="005E1870">
        <w:t xml:space="preserve">EDI </w:t>
      </w:r>
      <w:r>
        <w:t xml:space="preserve">survey at Royal Roads! </w:t>
      </w:r>
      <w:r w:rsidR="00EB0008">
        <w:t xml:space="preserve">Below </w:t>
      </w:r>
      <w:r>
        <w:t xml:space="preserve">are the results of the survey, aggregated to remove any identifying data. </w:t>
      </w:r>
    </w:p>
    <w:p w14:paraId="0BEA2DA9" w14:textId="60DEA30E" w:rsidR="00862AD8" w:rsidRPr="00862AD8" w:rsidRDefault="00D1250A" w:rsidP="00862AD8">
      <w:pPr>
        <w:spacing w:after="0" w:line="240" w:lineRule="auto"/>
        <w:rPr>
          <w:rFonts w:eastAsia="Times New Roman" w:cs="Calibri"/>
          <w:lang w:val="en-CA"/>
        </w:rPr>
      </w:pPr>
      <w:r>
        <w:rPr>
          <w:rFonts w:eastAsia="Times New Roman" w:cs="Calibri"/>
          <w:lang w:val="en-CA"/>
        </w:rPr>
        <w:t xml:space="preserve">The </w:t>
      </w:r>
      <w:r w:rsidR="00862AD8" w:rsidRPr="00862AD8">
        <w:rPr>
          <w:rFonts w:eastAsia="Times New Roman" w:cs="Calibri"/>
          <w:lang w:val="en-CA"/>
        </w:rPr>
        <w:t xml:space="preserve">on-line </w:t>
      </w:r>
      <w:r w:rsidR="00D74D27">
        <w:rPr>
          <w:rFonts w:eastAsia="Times New Roman" w:cs="Calibri"/>
          <w:lang w:val="en-CA"/>
        </w:rPr>
        <w:t xml:space="preserve">survey </w:t>
      </w:r>
      <w:r w:rsidR="00862AD8" w:rsidRPr="00862AD8">
        <w:rPr>
          <w:rFonts w:eastAsia="Times New Roman" w:cs="Calibri"/>
          <w:lang w:val="en-CA"/>
        </w:rPr>
        <w:t>was distributed to all current Royal Roads University employees on May 9, 2019.  A hard-copy version was also made available to capture employees who preferred to respond in this manner. The</w:t>
      </w:r>
      <w:r w:rsidR="00D74D27">
        <w:rPr>
          <w:rFonts w:eastAsia="Times New Roman" w:cs="Calibri"/>
          <w:lang w:val="en-CA"/>
        </w:rPr>
        <w:t xml:space="preserve"> analysis of the</w:t>
      </w:r>
      <w:r w:rsidR="0085347D">
        <w:rPr>
          <w:rFonts w:eastAsia="Times New Roman" w:cs="Calibri"/>
          <w:lang w:val="en-CA"/>
        </w:rPr>
        <w:t xml:space="preserve"> </w:t>
      </w:r>
      <w:r w:rsidR="00D74D27">
        <w:rPr>
          <w:rFonts w:eastAsia="Times New Roman" w:cs="Calibri"/>
          <w:lang w:val="en-CA"/>
        </w:rPr>
        <w:t xml:space="preserve">survey </w:t>
      </w:r>
      <w:r w:rsidR="00862AD8" w:rsidRPr="00862AD8">
        <w:rPr>
          <w:rFonts w:eastAsia="Times New Roman" w:cs="Calibri"/>
          <w:lang w:val="en-CA"/>
        </w:rPr>
        <w:t>is as follows:</w:t>
      </w:r>
    </w:p>
    <w:p w14:paraId="31E66A23" w14:textId="77777777" w:rsidR="00862AD8" w:rsidRPr="00862AD8" w:rsidRDefault="00862AD8" w:rsidP="00862AD8">
      <w:pPr>
        <w:spacing w:after="0" w:line="240" w:lineRule="auto"/>
        <w:rPr>
          <w:rFonts w:eastAsia="Times New Roman" w:cs="Calibri"/>
          <w:lang w:val="en-CA"/>
        </w:rPr>
      </w:pPr>
    </w:p>
    <w:p w14:paraId="6F828DF7" w14:textId="78EBC096" w:rsidR="00862AD8" w:rsidRPr="00862AD8" w:rsidRDefault="00862AD8" w:rsidP="00862AD8">
      <w:pPr>
        <w:spacing w:after="0" w:line="240" w:lineRule="auto"/>
        <w:rPr>
          <w:rFonts w:eastAsia="Times New Roman" w:cs="Calibri"/>
          <w:lang w:val="en-CA"/>
        </w:rPr>
      </w:pPr>
      <w:r w:rsidRPr="00862AD8">
        <w:rPr>
          <w:rFonts w:eastAsia="Times New Roman" w:cs="Calibri"/>
          <w:b/>
          <w:lang w:val="en-CA"/>
        </w:rPr>
        <w:t>Response and completion rates</w:t>
      </w:r>
      <w:r w:rsidR="00811FBE">
        <w:rPr>
          <w:rFonts w:eastAsia="Times New Roman" w:cs="Calibri"/>
          <w:b/>
          <w:lang w:val="en-CA"/>
        </w:rPr>
        <w:t>:</w:t>
      </w:r>
    </w:p>
    <w:p w14:paraId="7E8D20FB" w14:textId="2D78FCEC" w:rsidR="00862AD8" w:rsidRPr="00862AD8" w:rsidRDefault="00862AD8" w:rsidP="00862AD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862AD8">
        <w:rPr>
          <w:rFonts w:eastAsia="Times New Roman" w:cs="Calibri"/>
        </w:rPr>
        <w:t xml:space="preserve">Distributed to </w:t>
      </w:r>
      <w:r w:rsidRPr="00862AD8">
        <w:rPr>
          <w:rFonts w:eastAsia="Times New Roman" w:cs="Calibri"/>
          <w:b/>
        </w:rPr>
        <w:t xml:space="preserve">519 </w:t>
      </w:r>
      <w:r w:rsidRPr="00862AD8">
        <w:rPr>
          <w:rFonts w:eastAsia="Times New Roman" w:cs="Calibri"/>
        </w:rPr>
        <w:t xml:space="preserve">employees which attracted </w:t>
      </w:r>
      <w:r w:rsidRPr="00862AD8">
        <w:rPr>
          <w:rFonts w:eastAsia="Times New Roman" w:cs="Calibri"/>
          <w:b/>
        </w:rPr>
        <w:t xml:space="preserve">301 </w:t>
      </w:r>
      <w:r w:rsidRPr="00862AD8">
        <w:rPr>
          <w:rFonts w:eastAsia="Times New Roman" w:cs="Calibri"/>
        </w:rPr>
        <w:t xml:space="preserve">responses representing a </w:t>
      </w:r>
      <w:r w:rsidRPr="00862AD8">
        <w:rPr>
          <w:rFonts w:eastAsia="Times New Roman" w:cs="Calibri"/>
          <w:b/>
        </w:rPr>
        <w:t>58%</w:t>
      </w:r>
      <w:r w:rsidRPr="00862AD8">
        <w:rPr>
          <w:rFonts w:eastAsia="Times New Roman" w:cs="Calibri"/>
        </w:rPr>
        <w:t xml:space="preserve"> response rate resulting in </w:t>
      </w:r>
      <w:r w:rsidRPr="00862AD8">
        <w:rPr>
          <w:rFonts w:eastAsia="Times New Roman" w:cs="Calibri"/>
          <w:b/>
        </w:rPr>
        <w:t>298</w:t>
      </w:r>
      <w:r w:rsidRPr="00862AD8">
        <w:rPr>
          <w:rFonts w:eastAsia="Times New Roman" w:cs="Calibri"/>
        </w:rPr>
        <w:t xml:space="preserve"> </w:t>
      </w:r>
      <w:r w:rsidR="00CC5565">
        <w:rPr>
          <w:rFonts w:eastAsia="Times New Roman" w:cs="Calibri"/>
        </w:rPr>
        <w:t>surveys</w:t>
      </w:r>
      <w:r w:rsidRPr="00862AD8">
        <w:rPr>
          <w:rFonts w:eastAsia="Times New Roman" w:cs="Calibri"/>
        </w:rPr>
        <w:t xml:space="preserve"> being fully completed for a completion rate of </w:t>
      </w:r>
      <w:r w:rsidRPr="00862AD8">
        <w:rPr>
          <w:rFonts w:eastAsia="Times New Roman" w:cs="Calibri"/>
          <w:b/>
        </w:rPr>
        <w:t>99%</w:t>
      </w:r>
      <w:r w:rsidRPr="00862AD8">
        <w:rPr>
          <w:rFonts w:eastAsia="Times New Roman" w:cs="Calibri"/>
        </w:rPr>
        <w:t>.</w:t>
      </w:r>
    </w:p>
    <w:p w14:paraId="07373EE3" w14:textId="77777777" w:rsidR="00862AD8" w:rsidRPr="00862AD8" w:rsidRDefault="00862AD8" w:rsidP="00862AD8">
      <w:pPr>
        <w:spacing w:before="240" w:after="0"/>
        <w:rPr>
          <w:rFonts w:eastAsia="Times New Roman" w:cs="Calibri"/>
          <w:b/>
          <w:lang w:val="en-CA"/>
        </w:rPr>
      </w:pPr>
      <w:r w:rsidRPr="00862AD8">
        <w:rPr>
          <w:rFonts w:eastAsia="Times New Roman" w:cs="Calibri"/>
          <w:b/>
          <w:lang w:val="en-CA"/>
        </w:rPr>
        <w:t>Demographic representation of respondents:</w:t>
      </w:r>
    </w:p>
    <w:p w14:paraId="6D744E1F" w14:textId="0638173E" w:rsidR="00862AD8" w:rsidRPr="00862AD8" w:rsidRDefault="00862AD8" w:rsidP="00862AD8">
      <w:pPr>
        <w:numPr>
          <w:ilvl w:val="0"/>
          <w:numId w:val="1"/>
        </w:numPr>
        <w:spacing w:after="0" w:line="240" w:lineRule="auto"/>
        <w:contextualSpacing/>
        <w:rPr>
          <w:rFonts w:ascii="New York" w:eastAsia="Times New Roman" w:hAnsi="New York" w:cs="Times New Roman"/>
          <w:b/>
          <w:bCs/>
          <w:sz w:val="24"/>
          <w:szCs w:val="20"/>
        </w:rPr>
      </w:pPr>
      <w:r w:rsidRPr="00862AD8">
        <w:rPr>
          <w:rFonts w:eastAsia="Times New Roman" w:cs="Calibri"/>
        </w:rPr>
        <w:t>Only one demographic question was asked of the respondent</w:t>
      </w:r>
      <w:r w:rsidR="002279D3">
        <w:rPr>
          <w:rFonts w:eastAsia="Times New Roman" w:cs="Calibri"/>
        </w:rPr>
        <w:t>. The question was ‘</w:t>
      </w:r>
      <w:r w:rsidRPr="00862AD8">
        <w:rPr>
          <w:rFonts w:eastAsia="Times New Roman" w:cs="Calibri"/>
          <w:i/>
        </w:rPr>
        <w:t>select the group that represents your role at RRU</w:t>
      </w:r>
      <w:r w:rsidR="002279D3">
        <w:rPr>
          <w:rFonts w:eastAsia="Times New Roman" w:cs="Calibri"/>
          <w:i/>
        </w:rPr>
        <w:t>’</w:t>
      </w:r>
      <w:proofErr w:type="gramStart"/>
      <w:r w:rsidR="002279D3">
        <w:rPr>
          <w:rFonts w:eastAsia="Times New Roman" w:cs="Calibri"/>
          <w:i/>
        </w:rPr>
        <w:t xml:space="preserve">. </w:t>
      </w:r>
      <w:proofErr w:type="gramEnd"/>
      <w:r w:rsidR="002279D3" w:rsidRPr="002279D3">
        <w:rPr>
          <w:rFonts w:eastAsia="Times New Roman" w:cs="Calibri"/>
        </w:rPr>
        <w:t>T</w:t>
      </w:r>
      <w:r w:rsidRPr="002279D3">
        <w:rPr>
          <w:rFonts w:eastAsia="Times New Roman" w:cs="Calibri"/>
        </w:rPr>
        <w:t>he highest</w:t>
      </w:r>
      <w:r w:rsidRPr="00862AD8">
        <w:rPr>
          <w:rFonts w:eastAsia="Times New Roman" w:cs="Calibri"/>
        </w:rPr>
        <w:t xml:space="preserve"> percentage response was from the Non-unionized Grades 3&amp;4 (Professional/Technical staff) at a response rate of </w:t>
      </w:r>
      <w:r w:rsidRPr="00862AD8">
        <w:rPr>
          <w:rFonts w:eastAsia="Times New Roman" w:cs="Calibri"/>
          <w:b/>
        </w:rPr>
        <w:t>35.57% (106 count)</w:t>
      </w:r>
      <w:r w:rsidRPr="00862AD8">
        <w:rPr>
          <w:rFonts w:eastAsia="Times New Roman" w:cs="Calibri"/>
        </w:rPr>
        <w:t xml:space="preserve">. </w:t>
      </w:r>
    </w:p>
    <w:p w14:paraId="21E5FC4A" w14:textId="77777777" w:rsidR="00862AD8" w:rsidRPr="00862AD8" w:rsidRDefault="00862AD8" w:rsidP="00862AD8">
      <w:pPr>
        <w:spacing w:before="240"/>
        <w:jc w:val="center"/>
        <w:rPr>
          <w:rFonts w:eastAsia="Times New Roman" w:cs="Times New Roman"/>
          <w:b/>
          <w:bCs/>
          <w:lang w:val="en-CA"/>
        </w:rPr>
      </w:pPr>
      <w:r>
        <w:rPr>
          <w:rFonts w:eastAsia="Times New Roman" w:cs="Times New Roman"/>
          <w:b/>
          <w:noProof/>
        </w:rPr>
        <w:drawing>
          <wp:inline distT="0" distB="0" distL="0" distR="0" wp14:anchorId="3653A508" wp14:editId="41EF0251">
            <wp:extent cx="3855720" cy="1706880"/>
            <wp:effectExtent l="0" t="0" r="0" b="7620"/>
            <wp:docPr id="1" name="Picture 1" descr="table613587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613587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74A2" w14:textId="0585965C" w:rsidR="00862AD8" w:rsidRPr="00862AD8" w:rsidRDefault="00862AD8" w:rsidP="00862AD8">
      <w:pPr>
        <w:rPr>
          <w:rFonts w:eastAsia="Times New Roman" w:cs="Times New Roman"/>
          <w:lang w:val="en-CA"/>
        </w:rPr>
      </w:pPr>
      <w:r w:rsidRPr="00862AD8">
        <w:rPr>
          <w:rFonts w:eastAsia="Times New Roman" w:cs="Calibri"/>
          <w:b/>
          <w:lang w:val="en-CA"/>
        </w:rPr>
        <w:t xml:space="preserve">Representation of the </w:t>
      </w:r>
      <w:r w:rsidR="00811FBE">
        <w:rPr>
          <w:rFonts w:eastAsia="Times New Roman" w:cs="Calibri"/>
          <w:b/>
          <w:lang w:val="en-CA"/>
        </w:rPr>
        <w:t>F</w:t>
      </w:r>
      <w:r w:rsidRPr="00862AD8">
        <w:rPr>
          <w:rFonts w:eastAsia="Times New Roman" w:cs="Calibri"/>
          <w:b/>
          <w:lang w:val="en-CA"/>
        </w:rPr>
        <w:t xml:space="preserve">our Designated Groups (FDGs) </w:t>
      </w:r>
      <w:r w:rsidR="00DA1F46">
        <w:rPr>
          <w:rFonts w:eastAsia="Times New Roman" w:cs="Calibri"/>
          <w:b/>
          <w:lang w:val="en-CA"/>
        </w:rPr>
        <w:t xml:space="preserve">federally regulated </w:t>
      </w:r>
      <w:r w:rsidR="00811FBE">
        <w:rPr>
          <w:rFonts w:eastAsia="Times New Roman" w:cs="Calibri"/>
          <w:b/>
          <w:lang w:val="en-CA"/>
        </w:rPr>
        <w:t xml:space="preserve">within the Employment Equity Act </w:t>
      </w:r>
      <w:r w:rsidRPr="00862AD8">
        <w:rPr>
          <w:rFonts w:eastAsia="Times New Roman" w:cs="Calibri"/>
          <w:b/>
          <w:lang w:val="en-CA"/>
        </w:rPr>
        <w:t xml:space="preserve">and our two additional areas of gender </w:t>
      </w:r>
      <w:r w:rsidR="00085F44">
        <w:rPr>
          <w:rFonts w:eastAsia="Times New Roman" w:cs="Calibri"/>
          <w:b/>
          <w:lang w:val="en-CA"/>
        </w:rPr>
        <w:t xml:space="preserve">diversity </w:t>
      </w:r>
      <w:r w:rsidRPr="00862AD8">
        <w:rPr>
          <w:rFonts w:eastAsia="Times New Roman" w:cs="Calibri"/>
          <w:b/>
          <w:lang w:val="en-CA"/>
        </w:rPr>
        <w:t>and sexual orientation</w:t>
      </w:r>
      <w:r w:rsidR="005E1870">
        <w:rPr>
          <w:rFonts w:eastAsia="Times New Roman" w:cs="Calibri"/>
          <w:b/>
          <w:lang w:val="en-CA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400"/>
        <w:gridCol w:w="1102"/>
        <w:gridCol w:w="368"/>
        <w:gridCol w:w="735"/>
        <w:gridCol w:w="735"/>
        <w:gridCol w:w="367"/>
        <w:gridCol w:w="1103"/>
      </w:tblGrid>
      <w:tr w:rsidR="00862AD8" w:rsidRPr="00862AD8" w14:paraId="19637846" w14:textId="77777777" w:rsidTr="00817EB7">
        <w:tc>
          <w:tcPr>
            <w:tcW w:w="5400" w:type="dxa"/>
            <w:vMerge w:val="restart"/>
            <w:shd w:val="clear" w:color="auto" w:fill="D9D9D9" w:themeFill="background1" w:themeFillShade="D9"/>
          </w:tcPr>
          <w:p w14:paraId="6BE324D8" w14:textId="77777777" w:rsidR="00862AD8" w:rsidRPr="00862AD8" w:rsidRDefault="00862AD8" w:rsidP="00862AD8">
            <w:pPr>
              <w:rPr>
                <w:b/>
                <w:bCs/>
              </w:rPr>
            </w:pPr>
            <w:r w:rsidRPr="00862AD8">
              <w:rPr>
                <w:b/>
                <w:bCs/>
              </w:rPr>
              <w:t>Group</w:t>
            </w:r>
          </w:p>
        </w:tc>
        <w:tc>
          <w:tcPr>
            <w:tcW w:w="4410" w:type="dxa"/>
            <w:gridSpan w:val="6"/>
            <w:shd w:val="clear" w:color="auto" w:fill="D9D9D9" w:themeFill="background1" w:themeFillShade="D9"/>
          </w:tcPr>
          <w:p w14:paraId="040962F1" w14:textId="77777777" w:rsidR="00862AD8" w:rsidRPr="00862AD8" w:rsidRDefault="00862AD8" w:rsidP="00862AD8">
            <w:pPr>
              <w:rPr>
                <w:b/>
                <w:bCs/>
              </w:rPr>
            </w:pPr>
            <w:r w:rsidRPr="00862AD8">
              <w:rPr>
                <w:b/>
                <w:bCs/>
              </w:rPr>
              <w:t xml:space="preserve">Response rate </w:t>
            </w:r>
          </w:p>
          <w:p w14:paraId="77255D63" w14:textId="34A6043C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 xml:space="preserve">(Percentage and individual count noted - </w:t>
            </w:r>
            <w:r w:rsidRPr="00862AD8">
              <w:rPr>
                <w:bCs/>
                <w:color w:val="FF0000"/>
                <w:sz w:val="20"/>
                <w:szCs w:val="20"/>
              </w:rPr>
              <w:t>red</w:t>
            </w:r>
            <w:r w:rsidRPr="00862AD8">
              <w:rPr>
                <w:bCs/>
                <w:sz w:val="20"/>
                <w:szCs w:val="20"/>
              </w:rPr>
              <w:t xml:space="preserve"> = highest response)</w:t>
            </w:r>
          </w:p>
          <w:p w14:paraId="6F7C94C0" w14:textId="77777777" w:rsidR="00862AD8" w:rsidRPr="00862AD8" w:rsidRDefault="00862AD8" w:rsidP="00862AD8">
            <w:pPr>
              <w:rPr>
                <w:b/>
                <w:bCs/>
              </w:rPr>
            </w:pPr>
          </w:p>
        </w:tc>
      </w:tr>
      <w:tr w:rsidR="00862AD8" w:rsidRPr="00862AD8" w14:paraId="78050557" w14:textId="77777777" w:rsidTr="00817EB7">
        <w:tc>
          <w:tcPr>
            <w:tcW w:w="5400" w:type="dxa"/>
            <w:vMerge/>
          </w:tcPr>
          <w:p w14:paraId="1809C5E9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49FA4320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20EE0768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669EE005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Do not wish to answer</w:t>
            </w:r>
          </w:p>
        </w:tc>
      </w:tr>
      <w:tr w:rsidR="00862AD8" w:rsidRPr="00862AD8" w14:paraId="5D062A21" w14:textId="77777777" w:rsidTr="00817EB7">
        <w:tc>
          <w:tcPr>
            <w:tcW w:w="5400" w:type="dxa"/>
          </w:tcPr>
          <w:p w14:paraId="73AADF87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Indigenous</w:t>
            </w:r>
            <w:r w:rsidRPr="00862AD8">
              <w:rPr>
                <w:bCs/>
                <w:sz w:val="20"/>
                <w:szCs w:val="20"/>
              </w:rPr>
              <w:t xml:space="preserve"> peoples who identify as First Nations, First Peoples, Inuit, Inuk, and Métis people of North America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7D4E20DF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3.02%</w:t>
            </w:r>
          </w:p>
          <w:p w14:paraId="394FFB54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9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4C69AA25" w14:textId="77777777" w:rsidR="00862AD8" w:rsidRPr="00862AD8" w:rsidRDefault="00862AD8" w:rsidP="00862A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94.30%</w:t>
            </w:r>
          </w:p>
          <w:p w14:paraId="0CB1251C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281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02E96A95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2.68%</w:t>
            </w:r>
          </w:p>
          <w:p w14:paraId="4FAA8D93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8 responses</w:t>
            </w:r>
          </w:p>
        </w:tc>
      </w:tr>
      <w:tr w:rsidR="00862AD8" w:rsidRPr="00862AD8" w14:paraId="633C40EB" w14:textId="77777777" w:rsidTr="00817EB7">
        <w:tc>
          <w:tcPr>
            <w:tcW w:w="5400" w:type="dxa"/>
          </w:tcPr>
          <w:p w14:paraId="508B09C8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Visible minorities</w:t>
            </w:r>
            <w:r w:rsidRPr="00862AD8">
              <w:rPr>
                <w:bCs/>
                <w:sz w:val="20"/>
                <w:szCs w:val="20"/>
              </w:rPr>
              <w:t xml:space="preserve"> are people (other than Indigenous peoples) who self-identify as non-white in colour and are generally defined as a person of colour, regardless of their place of birth or citizenship.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010316AD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16.44%</w:t>
            </w:r>
          </w:p>
          <w:p w14:paraId="6E89963B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49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2F5535CB" w14:textId="77777777" w:rsidR="00862AD8" w:rsidRPr="00862AD8" w:rsidRDefault="00862AD8" w:rsidP="00862A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80.87%</w:t>
            </w:r>
          </w:p>
          <w:p w14:paraId="72FD8263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241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02800169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2.68%</w:t>
            </w:r>
          </w:p>
          <w:p w14:paraId="03C2CCED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8 responses</w:t>
            </w:r>
          </w:p>
        </w:tc>
      </w:tr>
      <w:tr w:rsidR="00862AD8" w:rsidRPr="00862AD8" w14:paraId="028179F0" w14:textId="77777777" w:rsidTr="00817EB7">
        <w:tc>
          <w:tcPr>
            <w:tcW w:w="5400" w:type="dxa"/>
          </w:tcPr>
          <w:p w14:paraId="19935746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 xml:space="preserve">Persons with disabilities, </w:t>
            </w:r>
            <w:r w:rsidRPr="00862AD8">
              <w:rPr>
                <w:bCs/>
                <w:sz w:val="20"/>
                <w:szCs w:val="20"/>
              </w:rPr>
              <w:t>means persons who have long-term or recurring physical, mental, psychiatric, sensory or learning impairments.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4487CFCD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11.74%</w:t>
            </w:r>
          </w:p>
          <w:p w14:paraId="293BCE3B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35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76637057" w14:textId="77777777" w:rsidR="00862AD8" w:rsidRPr="00862AD8" w:rsidRDefault="00862AD8" w:rsidP="00862A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86.24%</w:t>
            </w:r>
          </w:p>
          <w:p w14:paraId="5FD9C1AC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257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3FE7DE4B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2.01%</w:t>
            </w:r>
          </w:p>
          <w:p w14:paraId="3D47B1EC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6 responses</w:t>
            </w:r>
          </w:p>
        </w:tc>
      </w:tr>
      <w:tr w:rsidR="00862AD8" w:rsidRPr="00862AD8" w14:paraId="7C90F1DB" w14:textId="77777777" w:rsidTr="00817EB7">
        <w:tc>
          <w:tcPr>
            <w:tcW w:w="5400" w:type="dxa"/>
          </w:tcPr>
          <w:p w14:paraId="3C2F9F70" w14:textId="7D67D54C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Gender diversity</w:t>
            </w:r>
            <w:r w:rsidRPr="00862AD8">
              <w:rPr>
                <w:bCs/>
                <w:sz w:val="20"/>
                <w:szCs w:val="20"/>
              </w:rPr>
              <w:t xml:space="preserve">, </w:t>
            </w:r>
            <w:r w:rsidR="00A94EA7">
              <w:rPr>
                <w:bCs/>
                <w:sz w:val="20"/>
                <w:szCs w:val="20"/>
              </w:rPr>
              <w:t>a person who self identifies as</w:t>
            </w:r>
            <w:r w:rsidRPr="00862AD8">
              <w:rPr>
                <w:bCs/>
                <w:sz w:val="20"/>
                <w:szCs w:val="20"/>
              </w:rPr>
              <w:t>: Transgender, Transsexual, Two-Spirit, Gender Non-conforming, Gender Variant, Non-Binary, Agender, or who otherwise does not identify with the gender assigned at to them at birth</w:t>
            </w:r>
            <w:r w:rsidR="00561FD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0A046ED3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2.35%</w:t>
            </w:r>
          </w:p>
          <w:p w14:paraId="671C44AE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7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4283B19C" w14:textId="77777777" w:rsidR="00862AD8" w:rsidRPr="00862AD8" w:rsidRDefault="00862AD8" w:rsidP="00862A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95.30%</w:t>
            </w:r>
          </w:p>
          <w:p w14:paraId="514184D0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284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599102EB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2.35%</w:t>
            </w:r>
          </w:p>
          <w:p w14:paraId="2B29C5AB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7 responses</w:t>
            </w:r>
          </w:p>
        </w:tc>
      </w:tr>
      <w:tr w:rsidR="00862AD8" w:rsidRPr="00862AD8" w14:paraId="598C4304" w14:textId="77777777" w:rsidTr="00817EB7">
        <w:tc>
          <w:tcPr>
            <w:tcW w:w="5400" w:type="dxa"/>
          </w:tcPr>
          <w:p w14:paraId="5F9B5C5D" w14:textId="136EB95A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Sexual orientation</w:t>
            </w:r>
            <w:r w:rsidRPr="00862AD8">
              <w:rPr>
                <w:bCs/>
                <w:sz w:val="20"/>
                <w:szCs w:val="20"/>
              </w:rPr>
              <w:t xml:space="preserve"> representation, a person who </w:t>
            </w:r>
            <w:r w:rsidR="00561FD3">
              <w:rPr>
                <w:bCs/>
                <w:sz w:val="20"/>
                <w:szCs w:val="20"/>
              </w:rPr>
              <w:t>self identifies as</w:t>
            </w:r>
            <w:r w:rsidRPr="00862AD8">
              <w:rPr>
                <w:bCs/>
                <w:sz w:val="20"/>
                <w:szCs w:val="20"/>
              </w:rPr>
              <w:t xml:space="preserve">:  Lesbian, Gay, Bisexual, Queer or who otherwise does not identify as </w:t>
            </w:r>
            <w:proofErr w:type="gramStart"/>
            <w:r w:rsidRPr="00862AD8">
              <w:rPr>
                <w:bCs/>
                <w:sz w:val="20"/>
                <w:szCs w:val="20"/>
              </w:rPr>
              <w:t>heterosexual</w:t>
            </w:r>
            <w:proofErr w:type="gramEnd"/>
            <w:r w:rsidR="00561FD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663334B9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11.41%</w:t>
            </w:r>
          </w:p>
          <w:p w14:paraId="557A8E59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34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59B3D0CF" w14:textId="77777777" w:rsidR="00862AD8" w:rsidRPr="00862AD8" w:rsidRDefault="00862AD8" w:rsidP="00862A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83.89%</w:t>
            </w:r>
          </w:p>
          <w:p w14:paraId="625E854A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250 responses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14:paraId="5F2C5DE5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4.70%</w:t>
            </w:r>
          </w:p>
          <w:p w14:paraId="441AF741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14 responses</w:t>
            </w:r>
          </w:p>
        </w:tc>
      </w:tr>
      <w:tr w:rsidR="00862AD8" w:rsidRPr="00862AD8" w14:paraId="7488EE2B" w14:textId="77777777" w:rsidTr="00817EB7">
        <w:trPr>
          <w:trHeight w:val="179"/>
        </w:trPr>
        <w:tc>
          <w:tcPr>
            <w:tcW w:w="5400" w:type="dxa"/>
          </w:tcPr>
          <w:p w14:paraId="74F3D873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shd w:val="clear" w:color="auto" w:fill="D9D9D9" w:themeFill="background1" w:themeFillShade="D9"/>
          </w:tcPr>
          <w:p w14:paraId="49C3B87A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</w:p>
        </w:tc>
      </w:tr>
      <w:tr w:rsidR="00862AD8" w:rsidRPr="00862AD8" w14:paraId="7898300D" w14:textId="77777777" w:rsidTr="00817EB7">
        <w:tc>
          <w:tcPr>
            <w:tcW w:w="5400" w:type="dxa"/>
          </w:tcPr>
          <w:p w14:paraId="4425DD42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</w:tcPr>
          <w:p w14:paraId="7BA60DB5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Woman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</w:tcPr>
          <w:p w14:paraId="2C68C5B4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Man</w:t>
            </w:r>
          </w:p>
        </w:tc>
        <w:tc>
          <w:tcPr>
            <w:tcW w:w="1102" w:type="dxa"/>
            <w:gridSpan w:val="2"/>
            <w:shd w:val="clear" w:color="auto" w:fill="D9D9D9" w:themeFill="background1" w:themeFillShade="D9"/>
          </w:tcPr>
          <w:p w14:paraId="4A754210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F743815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sz w:val="20"/>
                <w:szCs w:val="20"/>
              </w:rPr>
              <w:t>Do not wish to answer</w:t>
            </w:r>
          </w:p>
        </w:tc>
      </w:tr>
      <w:tr w:rsidR="00862AD8" w:rsidRPr="00862AD8" w14:paraId="6E8829B6" w14:textId="77777777" w:rsidTr="00817EB7">
        <w:tc>
          <w:tcPr>
            <w:tcW w:w="5400" w:type="dxa"/>
          </w:tcPr>
          <w:p w14:paraId="01786C4C" w14:textId="036C4557" w:rsidR="00862AD8" w:rsidRPr="00862AD8" w:rsidRDefault="00862AD8" w:rsidP="00862AD8">
            <w:pPr>
              <w:rPr>
                <w:b/>
                <w:bCs/>
              </w:rPr>
            </w:pPr>
            <w:r w:rsidRPr="00862AD8">
              <w:rPr>
                <w:bCs/>
                <w:sz w:val="20"/>
                <w:szCs w:val="20"/>
              </w:rPr>
              <w:t xml:space="preserve">Representation of </w:t>
            </w:r>
            <w:r w:rsidR="00817EB7" w:rsidRPr="00980C08">
              <w:rPr>
                <w:b/>
                <w:bCs/>
                <w:sz w:val="20"/>
                <w:szCs w:val="20"/>
              </w:rPr>
              <w:t>gender identity</w:t>
            </w:r>
            <w:r w:rsidR="00817EB7">
              <w:rPr>
                <w:bCs/>
                <w:sz w:val="20"/>
                <w:szCs w:val="20"/>
              </w:rPr>
              <w:t xml:space="preserve"> </w:t>
            </w:r>
            <w:r w:rsidRPr="00862AD8">
              <w:rPr>
                <w:bCs/>
                <w:sz w:val="20"/>
                <w:szCs w:val="20"/>
              </w:rPr>
              <w:t>within the RRU community</w:t>
            </w:r>
            <w:r w:rsidR="00561FD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3DF3F9C" w14:textId="77777777" w:rsidR="00862AD8" w:rsidRPr="00862AD8" w:rsidRDefault="00862AD8" w:rsidP="00862A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72.15%</w:t>
            </w:r>
          </w:p>
          <w:p w14:paraId="2697E64B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FF0000"/>
                <w:sz w:val="20"/>
                <w:szCs w:val="20"/>
              </w:rPr>
              <w:t>215 responses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</w:tcPr>
          <w:p w14:paraId="2C6A8713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23.83%</w:t>
            </w:r>
          </w:p>
          <w:p w14:paraId="0DCCA475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71 responses</w:t>
            </w:r>
          </w:p>
        </w:tc>
        <w:tc>
          <w:tcPr>
            <w:tcW w:w="1102" w:type="dxa"/>
            <w:gridSpan w:val="2"/>
            <w:shd w:val="clear" w:color="auto" w:fill="D9D9D9" w:themeFill="background1" w:themeFillShade="D9"/>
          </w:tcPr>
          <w:p w14:paraId="7ECDCF57" w14:textId="77777777" w:rsidR="00862AD8" w:rsidRPr="00862AD8" w:rsidRDefault="00862AD8" w:rsidP="00862AD8">
            <w:pPr>
              <w:rPr>
                <w:b/>
                <w:bCs/>
                <w:sz w:val="20"/>
                <w:szCs w:val="20"/>
              </w:rPr>
            </w:pPr>
            <w:r w:rsidRPr="00862AD8">
              <w:rPr>
                <w:b/>
                <w:bCs/>
                <w:color w:val="0070C0"/>
                <w:sz w:val="20"/>
                <w:szCs w:val="20"/>
              </w:rPr>
              <w:t>&lt; 5 responses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89832F5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2.68%</w:t>
            </w:r>
          </w:p>
          <w:p w14:paraId="41E7A3EA" w14:textId="77777777" w:rsidR="00862AD8" w:rsidRPr="00862AD8" w:rsidRDefault="00862AD8" w:rsidP="00862AD8">
            <w:pPr>
              <w:rPr>
                <w:bCs/>
                <w:sz w:val="20"/>
                <w:szCs w:val="20"/>
              </w:rPr>
            </w:pPr>
            <w:r w:rsidRPr="00862AD8">
              <w:rPr>
                <w:bCs/>
                <w:sz w:val="20"/>
                <w:szCs w:val="20"/>
              </w:rPr>
              <w:t>8 responses</w:t>
            </w:r>
          </w:p>
        </w:tc>
      </w:tr>
    </w:tbl>
    <w:p w14:paraId="5FCA190C" w14:textId="77777777" w:rsidR="00CC5565" w:rsidRDefault="00CC5565" w:rsidP="00862AD8">
      <w:pPr>
        <w:keepNext/>
        <w:keepLines/>
        <w:spacing w:before="200" w:after="0"/>
        <w:outlineLvl w:val="2"/>
        <w:rPr>
          <w:rFonts w:asciiTheme="majorHAnsi" w:eastAsiaTheme="majorEastAsia" w:hAnsiTheme="majorHAnsi" w:cs="Times New Roman"/>
          <w:b/>
          <w:bCs/>
          <w:color w:val="4F81BD" w:themeColor="accent1"/>
          <w:u w:val="single"/>
          <w:lang w:val="en-CA"/>
        </w:rPr>
      </w:pPr>
    </w:p>
    <w:p w14:paraId="78B525EC" w14:textId="6E9185E2" w:rsidR="00862AD8" w:rsidRPr="00862AD8" w:rsidRDefault="00862AD8" w:rsidP="00862AD8">
      <w:pPr>
        <w:keepNext/>
        <w:keepLines/>
        <w:spacing w:before="200" w:after="0"/>
        <w:outlineLvl w:val="2"/>
        <w:rPr>
          <w:rFonts w:asciiTheme="majorHAnsi" w:eastAsiaTheme="majorEastAsia" w:hAnsiTheme="majorHAnsi" w:cs="Times New Roman"/>
          <w:b/>
          <w:bCs/>
          <w:color w:val="4F81BD" w:themeColor="accent1"/>
          <w:u w:val="single"/>
          <w:lang w:val="en-CA"/>
        </w:rPr>
      </w:pPr>
      <w:r w:rsidRPr="00862AD8">
        <w:rPr>
          <w:rFonts w:asciiTheme="majorHAnsi" w:eastAsiaTheme="majorEastAsia" w:hAnsiTheme="majorHAnsi" w:cs="Times New Roman"/>
          <w:b/>
          <w:bCs/>
          <w:color w:val="4F81BD" w:themeColor="accent1"/>
          <w:u w:val="single"/>
          <w:lang w:val="en-CA"/>
        </w:rPr>
        <w:t>What is this census telling us?</w:t>
      </w:r>
    </w:p>
    <w:p w14:paraId="587CC3D9" w14:textId="77777777" w:rsidR="00862AD8" w:rsidRPr="00862AD8" w:rsidRDefault="00862AD8" w:rsidP="00862AD8">
      <w:pPr>
        <w:numPr>
          <w:ilvl w:val="0"/>
          <w:numId w:val="1"/>
        </w:numPr>
        <w:spacing w:after="0" w:line="240" w:lineRule="auto"/>
        <w:contextualSpacing/>
        <w:rPr>
          <w:rFonts w:ascii="New York" w:eastAsia="Times New Roman" w:hAnsi="New York" w:cs="Times New Roman"/>
          <w:sz w:val="24"/>
          <w:szCs w:val="20"/>
        </w:rPr>
      </w:pPr>
      <w:r w:rsidRPr="00862AD8">
        <w:rPr>
          <w:rFonts w:eastAsia="Times New Roman" w:cs="Calibri"/>
        </w:rPr>
        <w:t xml:space="preserve">Of those who responded, 58% of RRU’s employee demographic at the time of the </w:t>
      </w:r>
      <w:r w:rsidR="00920E7E">
        <w:rPr>
          <w:rFonts w:eastAsia="Times New Roman" w:cs="Calibri"/>
        </w:rPr>
        <w:t>survey</w:t>
      </w:r>
      <w:r w:rsidRPr="00862AD8">
        <w:rPr>
          <w:rFonts w:eastAsia="Times New Roman" w:cs="Calibri"/>
        </w:rPr>
        <w:t>, the majority identified as:</w:t>
      </w:r>
    </w:p>
    <w:p w14:paraId="45723213" w14:textId="77777777" w:rsidR="00862AD8" w:rsidRPr="00862AD8" w:rsidRDefault="00862AD8" w:rsidP="00862AD8">
      <w:pPr>
        <w:numPr>
          <w:ilvl w:val="1"/>
          <w:numId w:val="1"/>
        </w:numPr>
        <w:spacing w:after="0" w:line="240" w:lineRule="auto"/>
        <w:contextualSpacing/>
        <w:rPr>
          <w:rFonts w:ascii="New York" w:eastAsia="Times New Roman" w:hAnsi="New York" w:cs="Times New Roman"/>
          <w:sz w:val="24"/>
          <w:szCs w:val="20"/>
        </w:rPr>
      </w:pPr>
      <w:r w:rsidRPr="00862AD8">
        <w:rPr>
          <w:rFonts w:eastAsia="Times New Roman" w:cs="Calibri"/>
        </w:rPr>
        <w:t>Women</w:t>
      </w:r>
    </w:p>
    <w:p w14:paraId="48F7DF5D" w14:textId="07792E4F" w:rsidR="00862AD8" w:rsidRPr="00862AD8" w:rsidRDefault="0085347D" w:rsidP="00862AD8">
      <w:pPr>
        <w:numPr>
          <w:ilvl w:val="1"/>
          <w:numId w:val="1"/>
        </w:numPr>
        <w:spacing w:after="0" w:line="240" w:lineRule="auto"/>
        <w:contextualSpacing/>
        <w:rPr>
          <w:rFonts w:ascii="New York" w:eastAsia="Times New Roman" w:hAnsi="New York" w:cs="Times New Roman"/>
          <w:sz w:val="24"/>
          <w:szCs w:val="20"/>
        </w:rPr>
      </w:pPr>
      <w:r>
        <w:rPr>
          <w:rFonts w:eastAsia="Times New Roman" w:cs="Calibri"/>
        </w:rPr>
        <w:t xml:space="preserve">Without a </w:t>
      </w:r>
      <w:r w:rsidR="00920E7E">
        <w:rPr>
          <w:rFonts w:eastAsia="Times New Roman" w:cs="Calibri"/>
        </w:rPr>
        <w:t xml:space="preserve">disability  </w:t>
      </w:r>
    </w:p>
    <w:p w14:paraId="6840D22B" w14:textId="77777777" w:rsidR="00862AD8" w:rsidRPr="00862AD8" w:rsidRDefault="00862AD8" w:rsidP="00862AD8">
      <w:pPr>
        <w:numPr>
          <w:ilvl w:val="1"/>
          <w:numId w:val="1"/>
        </w:numPr>
        <w:spacing w:after="0" w:line="240" w:lineRule="auto"/>
        <w:contextualSpacing/>
        <w:rPr>
          <w:rFonts w:ascii="New York" w:eastAsia="Times New Roman" w:hAnsi="New York" w:cs="Times New Roman"/>
          <w:sz w:val="24"/>
          <w:szCs w:val="20"/>
        </w:rPr>
      </w:pPr>
      <w:r w:rsidRPr="00862AD8">
        <w:rPr>
          <w:rFonts w:eastAsia="Times New Roman" w:cs="Calibri"/>
        </w:rPr>
        <w:t>Non-Indigenous</w:t>
      </w:r>
    </w:p>
    <w:p w14:paraId="19CB9E3B" w14:textId="77777777" w:rsidR="00862AD8" w:rsidRPr="00862AD8" w:rsidRDefault="00862AD8" w:rsidP="00862AD8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862AD8">
        <w:rPr>
          <w:rFonts w:eastAsia="Times New Roman" w:cs="Calibri"/>
        </w:rPr>
        <w:t>Not a Visible Minority</w:t>
      </w:r>
    </w:p>
    <w:p w14:paraId="3381F269" w14:textId="77777777" w:rsidR="00862AD8" w:rsidRPr="00862AD8" w:rsidRDefault="00862AD8" w:rsidP="00862AD8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</w:rPr>
      </w:pPr>
      <w:r w:rsidRPr="00862AD8">
        <w:rPr>
          <w:rFonts w:eastAsia="Times New Roman" w:cs="Calibri"/>
        </w:rPr>
        <w:t>Heterosexual</w:t>
      </w:r>
    </w:p>
    <w:p w14:paraId="1B3D69BC" w14:textId="038889D8" w:rsidR="00862AD8" w:rsidRPr="00862AD8" w:rsidRDefault="0085347D" w:rsidP="00862AD8">
      <w:pPr>
        <w:numPr>
          <w:ilvl w:val="1"/>
          <w:numId w:val="1"/>
        </w:numPr>
        <w:spacing w:after="0" w:line="240" w:lineRule="auto"/>
        <w:contextualSpacing/>
        <w:rPr>
          <w:rFonts w:ascii="New York" w:eastAsia="Times New Roman" w:hAnsi="New York" w:cs="Times New Roman"/>
          <w:sz w:val="24"/>
          <w:szCs w:val="20"/>
        </w:rPr>
      </w:pPr>
      <w:r>
        <w:rPr>
          <w:rFonts w:eastAsia="Times New Roman" w:cs="Calibri"/>
        </w:rPr>
        <w:t xml:space="preserve">Cisgender </w:t>
      </w:r>
      <w:r w:rsidR="00862AD8" w:rsidRPr="00862AD8">
        <w:rPr>
          <w:rFonts w:eastAsia="Times New Roman" w:cs="Calibri"/>
        </w:rPr>
        <w:t xml:space="preserve"> </w:t>
      </w:r>
    </w:p>
    <w:p w14:paraId="32072D55" w14:textId="77777777" w:rsidR="00CC5565" w:rsidRDefault="00CC5565" w:rsidP="00862AD8">
      <w:pPr>
        <w:keepNext/>
        <w:keepLines/>
        <w:spacing w:before="200" w:after="0"/>
        <w:outlineLvl w:val="2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</w:p>
    <w:p w14:paraId="1E0DFEA2" w14:textId="672FDB91" w:rsidR="00862AD8" w:rsidRPr="00862AD8" w:rsidRDefault="00862AD8" w:rsidP="00862AD8">
      <w:pPr>
        <w:keepNext/>
        <w:keepLines/>
        <w:spacing w:before="200" w:after="0"/>
        <w:outlineLvl w:val="2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  <w:r w:rsidRPr="00862AD8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 xml:space="preserve">Comments following </w:t>
      </w:r>
      <w:r w:rsidR="00920E7E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 xml:space="preserve">survey </w:t>
      </w:r>
      <w:r w:rsidRPr="00862AD8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>questions</w:t>
      </w:r>
    </w:p>
    <w:p w14:paraId="19EE3C35" w14:textId="3CB04DEE" w:rsidR="00862AD8" w:rsidRPr="00862AD8" w:rsidRDefault="00862AD8" w:rsidP="00862AD8">
      <w:pPr>
        <w:spacing w:line="240" w:lineRule="auto"/>
        <w:rPr>
          <w:rFonts w:eastAsia="Times New Roman" w:cs="Times New Roman"/>
          <w:lang w:val="en-CA"/>
        </w:rPr>
      </w:pPr>
      <w:r w:rsidRPr="00862AD8">
        <w:rPr>
          <w:rFonts w:eastAsia="Times New Roman" w:cs="Times New Roman"/>
          <w:lang w:val="en-CA"/>
        </w:rPr>
        <w:t xml:space="preserve">Respondents were invited to provide comments at the end of each question and at the end of the </w:t>
      </w:r>
      <w:r w:rsidR="00A3376E">
        <w:rPr>
          <w:rFonts w:eastAsia="Times New Roman" w:cs="Times New Roman"/>
          <w:lang w:val="en-CA"/>
        </w:rPr>
        <w:t>survey</w:t>
      </w:r>
      <w:r w:rsidRPr="00862AD8">
        <w:rPr>
          <w:rFonts w:eastAsia="Times New Roman" w:cs="Times New Roman"/>
          <w:lang w:val="en-CA"/>
        </w:rPr>
        <w:t xml:space="preserve"> to provide any additional general comments regarding the EDI initiative at RRU.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80"/>
        <w:gridCol w:w="2250"/>
      </w:tblGrid>
      <w:tr w:rsidR="00862AD8" w:rsidRPr="00862AD8" w14:paraId="4FAA59FB" w14:textId="77777777" w:rsidTr="00817EB7">
        <w:tc>
          <w:tcPr>
            <w:tcW w:w="5778" w:type="dxa"/>
            <w:shd w:val="clear" w:color="auto" w:fill="D9D9D9" w:themeFill="background1" w:themeFillShade="D9"/>
          </w:tcPr>
          <w:p w14:paraId="63888F4C" w14:textId="77777777" w:rsidR="00862AD8" w:rsidRPr="00862AD8" w:rsidRDefault="00862AD8" w:rsidP="00862AD8">
            <w:pPr>
              <w:rPr>
                <w:b/>
              </w:rPr>
            </w:pPr>
            <w:r w:rsidRPr="00862AD8">
              <w:rPr>
                <w:b/>
              </w:rPr>
              <w:t>Question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8EE52D8" w14:textId="77777777" w:rsidR="00862AD8" w:rsidRPr="00862AD8" w:rsidRDefault="00862AD8" w:rsidP="00862AD8">
            <w:pPr>
              <w:rPr>
                <w:b/>
              </w:rPr>
            </w:pPr>
            <w:r w:rsidRPr="00862AD8">
              <w:rPr>
                <w:b/>
              </w:rPr>
              <w:t>Number of comments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9ECE217" w14:textId="01D95A3D" w:rsidR="00862AD8" w:rsidRPr="00862AD8" w:rsidRDefault="00862AD8" w:rsidP="00862AD8">
            <w:pPr>
              <w:rPr>
                <w:b/>
              </w:rPr>
            </w:pPr>
            <w:r w:rsidRPr="00862AD8">
              <w:rPr>
                <w:b/>
              </w:rPr>
              <w:t xml:space="preserve">Percentage of total response to </w:t>
            </w:r>
            <w:r w:rsidR="0014759C">
              <w:rPr>
                <w:b/>
              </w:rPr>
              <w:t>survey</w:t>
            </w:r>
            <w:r w:rsidRPr="00862AD8">
              <w:rPr>
                <w:b/>
              </w:rPr>
              <w:t xml:space="preserve"> </w:t>
            </w:r>
          </w:p>
        </w:tc>
      </w:tr>
      <w:tr w:rsidR="00862AD8" w:rsidRPr="00862AD8" w14:paraId="1066BA60" w14:textId="77777777" w:rsidTr="00817EB7">
        <w:tc>
          <w:tcPr>
            <w:tcW w:w="5778" w:type="dxa"/>
          </w:tcPr>
          <w:p w14:paraId="554AD2EA" w14:textId="77777777" w:rsidR="00862AD8" w:rsidRPr="00862AD8" w:rsidRDefault="00862AD8" w:rsidP="00862AD8">
            <w:r w:rsidRPr="00862AD8">
              <w:t xml:space="preserve">Q3 – Indigenous </w:t>
            </w:r>
          </w:p>
        </w:tc>
        <w:tc>
          <w:tcPr>
            <w:tcW w:w="1980" w:type="dxa"/>
          </w:tcPr>
          <w:p w14:paraId="328A47F4" w14:textId="77777777" w:rsidR="00862AD8" w:rsidRPr="00862AD8" w:rsidRDefault="00862AD8" w:rsidP="00862AD8">
            <w:r w:rsidRPr="00862AD8">
              <w:t>7</w:t>
            </w:r>
          </w:p>
        </w:tc>
        <w:tc>
          <w:tcPr>
            <w:tcW w:w="2250" w:type="dxa"/>
          </w:tcPr>
          <w:p w14:paraId="7DF73986" w14:textId="77777777" w:rsidR="00862AD8" w:rsidRPr="00862AD8" w:rsidRDefault="00862AD8" w:rsidP="00862AD8">
            <w:r w:rsidRPr="00862AD8">
              <w:t>2.34%</w:t>
            </w:r>
          </w:p>
        </w:tc>
      </w:tr>
      <w:tr w:rsidR="00862AD8" w:rsidRPr="00862AD8" w14:paraId="60AAE8E6" w14:textId="77777777" w:rsidTr="00817EB7">
        <w:tc>
          <w:tcPr>
            <w:tcW w:w="5778" w:type="dxa"/>
          </w:tcPr>
          <w:p w14:paraId="5008AF8B" w14:textId="77777777" w:rsidR="00862AD8" w:rsidRPr="00862AD8" w:rsidRDefault="00862AD8" w:rsidP="00862AD8">
            <w:r w:rsidRPr="00862AD8">
              <w:t>Q4 – Visible minorities</w:t>
            </w:r>
          </w:p>
        </w:tc>
        <w:tc>
          <w:tcPr>
            <w:tcW w:w="1980" w:type="dxa"/>
          </w:tcPr>
          <w:p w14:paraId="784349F3" w14:textId="77777777" w:rsidR="00862AD8" w:rsidRPr="00862AD8" w:rsidRDefault="00862AD8" w:rsidP="00862AD8">
            <w:r w:rsidRPr="00862AD8">
              <w:t>3</w:t>
            </w:r>
          </w:p>
        </w:tc>
        <w:tc>
          <w:tcPr>
            <w:tcW w:w="2250" w:type="dxa"/>
          </w:tcPr>
          <w:p w14:paraId="4878E30B" w14:textId="77777777" w:rsidR="00862AD8" w:rsidRPr="00862AD8" w:rsidRDefault="00862AD8" w:rsidP="00862AD8">
            <w:r w:rsidRPr="00862AD8">
              <w:t>1.00%</w:t>
            </w:r>
          </w:p>
        </w:tc>
      </w:tr>
      <w:tr w:rsidR="00862AD8" w:rsidRPr="00862AD8" w14:paraId="5A1B72C6" w14:textId="77777777" w:rsidTr="00817EB7">
        <w:tc>
          <w:tcPr>
            <w:tcW w:w="5778" w:type="dxa"/>
          </w:tcPr>
          <w:p w14:paraId="17B59979" w14:textId="77777777" w:rsidR="00862AD8" w:rsidRPr="00862AD8" w:rsidRDefault="00862AD8" w:rsidP="00862AD8">
            <w:r w:rsidRPr="00862AD8">
              <w:t>Q5 – Persons with Disabilities</w:t>
            </w:r>
          </w:p>
        </w:tc>
        <w:tc>
          <w:tcPr>
            <w:tcW w:w="1980" w:type="dxa"/>
          </w:tcPr>
          <w:p w14:paraId="2CCD693C" w14:textId="77777777" w:rsidR="00862AD8" w:rsidRPr="00862AD8" w:rsidRDefault="00862AD8" w:rsidP="00862AD8">
            <w:r w:rsidRPr="00862AD8">
              <w:t>7</w:t>
            </w:r>
          </w:p>
        </w:tc>
        <w:tc>
          <w:tcPr>
            <w:tcW w:w="2250" w:type="dxa"/>
          </w:tcPr>
          <w:p w14:paraId="5F4AF810" w14:textId="77777777" w:rsidR="00862AD8" w:rsidRPr="00862AD8" w:rsidRDefault="00862AD8" w:rsidP="00862AD8">
            <w:r w:rsidRPr="00862AD8">
              <w:t>2.34%</w:t>
            </w:r>
          </w:p>
        </w:tc>
      </w:tr>
      <w:tr w:rsidR="00862AD8" w:rsidRPr="00862AD8" w14:paraId="00BB9A9E" w14:textId="77777777" w:rsidTr="00817EB7">
        <w:tc>
          <w:tcPr>
            <w:tcW w:w="5778" w:type="dxa"/>
          </w:tcPr>
          <w:p w14:paraId="6A0F0486" w14:textId="77777777" w:rsidR="00862AD8" w:rsidRPr="00862AD8" w:rsidRDefault="00862AD8" w:rsidP="00862AD8">
            <w:r w:rsidRPr="00862AD8">
              <w:t>Q6 – Representation of women at RRU</w:t>
            </w:r>
          </w:p>
        </w:tc>
        <w:tc>
          <w:tcPr>
            <w:tcW w:w="1980" w:type="dxa"/>
          </w:tcPr>
          <w:p w14:paraId="5D2D666A" w14:textId="77777777" w:rsidR="00862AD8" w:rsidRPr="00862AD8" w:rsidRDefault="00862AD8" w:rsidP="00862AD8">
            <w:r w:rsidRPr="00862AD8">
              <w:t>2</w:t>
            </w:r>
          </w:p>
        </w:tc>
        <w:tc>
          <w:tcPr>
            <w:tcW w:w="2250" w:type="dxa"/>
          </w:tcPr>
          <w:p w14:paraId="31BED344" w14:textId="77777777" w:rsidR="00862AD8" w:rsidRPr="00862AD8" w:rsidRDefault="00862AD8" w:rsidP="00862AD8">
            <w:r w:rsidRPr="00862AD8">
              <w:t>0.67%</w:t>
            </w:r>
          </w:p>
        </w:tc>
      </w:tr>
      <w:tr w:rsidR="00862AD8" w:rsidRPr="00862AD8" w14:paraId="52558B7A" w14:textId="77777777" w:rsidTr="00817EB7">
        <w:tc>
          <w:tcPr>
            <w:tcW w:w="5778" w:type="dxa"/>
          </w:tcPr>
          <w:p w14:paraId="38275ABE" w14:textId="77777777" w:rsidR="00862AD8" w:rsidRPr="00862AD8" w:rsidRDefault="00862AD8" w:rsidP="00862AD8">
            <w:r w:rsidRPr="00862AD8">
              <w:t>Q7 – Gender Diversity representation</w:t>
            </w:r>
          </w:p>
        </w:tc>
        <w:tc>
          <w:tcPr>
            <w:tcW w:w="1980" w:type="dxa"/>
          </w:tcPr>
          <w:p w14:paraId="58D0FF78" w14:textId="77777777" w:rsidR="00862AD8" w:rsidRPr="00862AD8" w:rsidRDefault="00862AD8" w:rsidP="00862AD8">
            <w:r w:rsidRPr="00862AD8">
              <w:t>3</w:t>
            </w:r>
          </w:p>
        </w:tc>
        <w:tc>
          <w:tcPr>
            <w:tcW w:w="2250" w:type="dxa"/>
          </w:tcPr>
          <w:p w14:paraId="64E578BB" w14:textId="77777777" w:rsidR="00862AD8" w:rsidRPr="00862AD8" w:rsidRDefault="00862AD8" w:rsidP="00862AD8">
            <w:r w:rsidRPr="00862AD8">
              <w:t>1.00%</w:t>
            </w:r>
          </w:p>
        </w:tc>
      </w:tr>
      <w:tr w:rsidR="00862AD8" w:rsidRPr="00862AD8" w14:paraId="76490364" w14:textId="77777777" w:rsidTr="00817EB7">
        <w:tc>
          <w:tcPr>
            <w:tcW w:w="5778" w:type="dxa"/>
          </w:tcPr>
          <w:p w14:paraId="36D4B697" w14:textId="77777777" w:rsidR="00862AD8" w:rsidRPr="00862AD8" w:rsidRDefault="00862AD8" w:rsidP="00862AD8">
            <w:r w:rsidRPr="00862AD8">
              <w:t>Q8 – Sexual Orientation representation</w:t>
            </w:r>
          </w:p>
        </w:tc>
        <w:tc>
          <w:tcPr>
            <w:tcW w:w="1980" w:type="dxa"/>
          </w:tcPr>
          <w:p w14:paraId="196D8E95" w14:textId="77777777" w:rsidR="00862AD8" w:rsidRPr="00862AD8" w:rsidRDefault="00862AD8" w:rsidP="00862AD8">
            <w:r w:rsidRPr="00862AD8">
              <w:t>8</w:t>
            </w:r>
          </w:p>
        </w:tc>
        <w:tc>
          <w:tcPr>
            <w:tcW w:w="2250" w:type="dxa"/>
          </w:tcPr>
          <w:p w14:paraId="1B03A7CC" w14:textId="77777777" w:rsidR="00862AD8" w:rsidRPr="00862AD8" w:rsidRDefault="00862AD8" w:rsidP="00862AD8">
            <w:r w:rsidRPr="00862AD8">
              <w:t>2.68%</w:t>
            </w:r>
          </w:p>
        </w:tc>
      </w:tr>
      <w:tr w:rsidR="00862AD8" w:rsidRPr="00862AD8" w14:paraId="6666A6AA" w14:textId="77777777" w:rsidTr="00817EB7">
        <w:tc>
          <w:tcPr>
            <w:tcW w:w="5778" w:type="dxa"/>
          </w:tcPr>
          <w:p w14:paraId="6A13FBB3" w14:textId="77777777" w:rsidR="00862AD8" w:rsidRPr="00862AD8" w:rsidRDefault="00862AD8" w:rsidP="00862AD8">
            <w:r w:rsidRPr="00862AD8">
              <w:t>Q9 – General comments</w:t>
            </w:r>
          </w:p>
        </w:tc>
        <w:tc>
          <w:tcPr>
            <w:tcW w:w="1980" w:type="dxa"/>
          </w:tcPr>
          <w:p w14:paraId="1BAC0348" w14:textId="77777777" w:rsidR="00862AD8" w:rsidRPr="00862AD8" w:rsidRDefault="00862AD8" w:rsidP="00862AD8">
            <w:r w:rsidRPr="00862AD8">
              <w:t>32</w:t>
            </w:r>
          </w:p>
        </w:tc>
        <w:tc>
          <w:tcPr>
            <w:tcW w:w="2250" w:type="dxa"/>
          </w:tcPr>
          <w:p w14:paraId="3106A14C" w14:textId="77777777" w:rsidR="00862AD8" w:rsidRPr="00862AD8" w:rsidRDefault="00862AD8" w:rsidP="00862AD8">
            <w:r w:rsidRPr="00862AD8">
              <w:t>10.7%</w:t>
            </w:r>
          </w:p>
        </w:tc>
      </w:tr>
    </w:tbl>
    <w:p w14:paraId="0B14C198" w14:textId="069C665E" w:rsidR="00862AD8" w:rsidRDefault="00862AD8" w:rsidP="00862AD8">
      <w:pPr>
        <w:spacing w:line="240" w:lineRule="auto"/>
        <w:rPr>
          <w:rFonts w:eastAsia="Times New Roman" w:cs="Times New Roman"/>
          <w:lang w:val="en-CA"/>
        </w:rPr>
      </w:pPr>
    </w:p>
    <w:p w14:paraId="390FD6A7" w14:textId="5BE179DD" w:rsidR="00A3376E" w:rsidRDefault="00A3376E" w:rsidP="00CC5565">
      <w:pPr>
        <w:spacing w:after="0"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  <w:r w:rsidRPr="00862AD8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>Comm</w:t>
      </w:r>
      <w:r w:rsidR="00D1250A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 xml:space="preserve">on </w:t>
      </w:r>
      <w:r w:rsidR="005E1870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>t</w:t>
      </w:r>
      <w:r w:rsidR="00D1250A"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 xml:space="preserve">hemes </w:t>
      </w:r>
    </w:p>
    <w:p w14:paraId="3E11086B" w14:textId="6B552321" w:rsidR="00D1250A" w:rsidRDefault="00D1250A" w:rsidP="00085F44">
      <w:pPr>
        <w:spacing w:line="240" w:lineRule="auto"/>
      </w:pPr>
      <w:r>
        <w:t xml:space="preserve">A </w:t>
      </w:r>
      <w:r w:rsidR="00817EB7">
        <w:t xml:space="preserve">reflexive </w:t>
      </w:r>
      <w:r>
        <w:t>thematic analysis was used in analyzing the comments made in the survey</w:t>
      </w:r>
      <w:r w:rsidR="00817EB7">
        <w:t>. T</w:t>
      </w:r>
      <w:r>
        <w:t xml:space="preserve">he common themes are presented in order of high-low frequency of appearance in </w:t>
      </w:r>
      <w:r w:rsidR="00996589">
        <w:t xml:space="preserve">the </w:t>
      </w:r>
      <w:r>
        <w:t>analysis as follows:</w:t>
      </w:r>
    </w:p>
    <w:p w14:paraId="04683A92" w14:textId="77777777" w:rsidR="00D1250A" w:rsidRDefault="00D1250A" w:rsidP="00085F44">
      <w:pPr>
        <w:spacing w:line="240" w:lineRule="auto"/>
      </w:pPr>
      <w:r w:rsidRPr="00743002">
        <w:rPr>
          <w:u w:val="single"/>
        </w:rPr>
        <w:t>Support</w:t>
      </w:r>
      <w:r>
        <w:t xml:space="preserve"> </w:t>
      </w:r>
      <w:r>
        <w:br/>
        <w:t xml:space="preserve">The Royal Roads community expressed overwhelming support for the purpose of the survey and the work being done to ensure that, at Royal Roads, </w:t>
      </w:r>
      <w:r w:rsidRPr="005E1870">
        <w:rPr>
          <w:i/>
        </w:rPr>
        <w:t>Everyone Counts</w:t>
      </w:r>
      <w:r>
        <w:t xml:space="preserve">! </w:t>
      </w:r>
    </w:p>
    <w:p w14:paraId="45337FF0" w14:textId="0EDF3BEB" w:rsidR="00D1250A" w:rsidRPr="00743002" w:rsidRDefault="00D1250A" w:rsidP="00085F44">
      <w:pPr>
        <w:spacing w:line="240" w:lineRule="auto"/>
      </w:pPr>
      <w:r w:rsidRPr="00743002">
        <w:rPr>
          <w:u w:val="single"/>
        </w:rPr>
        <w:t>Concerns</w:t>
      </w:r>
      <w:r>
        <w:t xml:space="preserve"> </w:t>
      </w:r>
      <w:r>
        <w:br/>
        <w:t xml:space="preserve">Commonly expressed concerns around the purpose of the survey included future </w:t>
      </w:r>
      <w:r w:rsidRPr="00743002">
        <w:t>employment, the potential of the work to cause harm</w:t>
      </w:r>
      <w:r w:rsidR="00085F44">
        <w:t xml:space="preserve">, </w:t>
      </w:r>
      <w:r w:rsidRPr="00743002">
        <w:t xml:space="preserve">and concerns regarding quotas in the workplace. </w:t>
      </w:r>
    </w:p>
    <w:p w14:paraId="330C88F4" w14:textId="7D29878F" w:rsidR="00D1250A" w:rsidRPr="00A97BF6" w:rsidRDefault="00D1250A" w:rsidP="00085F44">
      <w:pPr>
        <w:spacing w:line="240" w:lineRule="auto"/>
        <w:rPr>
          <w:strike/>
        </w:rPr>
      </w:pPr>
      <w:r w:rsidRPr="00743002">
        <w:rPr>
          <w:u w:val="single"/>
        </w:rPr>
        <w:t>Identification</w:t>
      </w:r>
      <w:r w:rsidRPr="00743002">
        <w:t xml:space="preserve"> </w:t>
      </w:r>
      <w:r w:rsidRPr="00743002">
        <w:br/>
      </w:r>
      <w:r w:rsidR="006166DC">
        <w:t xml:space="preserve">Some </w:t>
      </w:r>
      <w:r w:rsidRPr="00743002">
        <w:t>respondents were unclear on the criteria for identifying ethnic backgrounds, and particularly what the definitions were for Indigenous peoples, visible minorities</w:t>
      </w:r>
      <w:r>
        <w:t>, and what is included or excluded in the definition of disability.</w:t>
      </w:r>
    </w:p>
    <w:p w14:paraId="570FB60F" w14:textId="196132DA" w:rsidR="00D1250A" w:rsidRDefault="00D1250A" w:rsidP="00085F44">
      <w:pPr>
        <w:spacing w:after="0" w:line="240" w:lineRule="auto"/>
      </w:pPr>
      <w:r>
        <w:rPr>
          <w:u w:val="single"/>
        </w:rPr>
        <w:t>Who i</w:t>
      </w:r>
      <w:r w:rsidRPr="00743002">
        <w:rPr>
          <w:u w:val="single"/>
        </w:rPr>
        <w:t>s missing?</w:t>
      </w:r>
      <w:r>
        <w:t xml:space="preserve"> </w:t>
      </w:r>
    </w:p>
    <w:p w14:paraId="10C83318" w14:textId="1AFCF92D" w:rsidR="00D1250A" w:rsidRDefault="00D1250A" w:rsidP="00085F44">
      <w:pPr>
        <w:spacing w:line="240" w:lineRule="auto"/>
      </w:pPr>
      <w:r>
        <w:t xml:space="preserve">Religion and spirituality, people with criminal records, single parents, cultural identities, first languages, immigrants, and temporary vs. permanent staff were all raised as potential gaps in the survey. </w:t>
      </w:r>
    </w:p>
    <w:p w14:paraId="1DA27006" w14:textId="77777777" w:rsidR="00D1250A" w:rsidRPr="00743002" w:rsidRDefault="00D1250A" w:rsidP="00085F44">
      <w:pPr>
        <w:spacing w:after="0" w:line="240" w:lineRule="auto"/>
        <w:rPr>
          <w:u w:val="single"/>
        </w:rPr>
      </w:pPr>
      <w:r w:rsidRPr="00743002">
        <w:rPr>
          <w:u w:val="single"/>
        </w:rPr>
        <w:t>Community needs</w:t>
      </w:r>
    </w:p>
    <w:p w14:paraId="7BB06214" w14:textId="1A99B6B6" w:rsidR="00D1250A" w:rsidRDefault="00D1250A" w:rsidP="00085F44">
      <w:pPr>
        <w:spacing w:line="240" w:lineRule="auto"/>
      </w:pPr>
      <w:r>
        <w:t xml:space="preserve">This survey identified a need for an environment that recognizes the work </w:t>
      </w:r>
      <w:r w:rsidR="00B56405">
        <w:t xml:space="preserve">performed </w:t>
      </w:r>
      <w:r>
        <w:t xml:space="preserve">and </w:t>
      </w:r>
      <w:r w:rsidR="00B56405">
        <w:t xml:space="preserve">to </w:t>
      </w:r>
      <w:r>
        <w:t>provide fair treatment for both union and non-union members equally.  There was a demonstrated need for Royal Roads to recognize those impacted by disability</w:t>
      </w:r>
      <w:r w:rsidR="00085F44">
        <w:t xml:space="preserve"> </w:t>
      </w:r>
      <w:r>
        <w:t xml:space="preserve">and provide stronger support for those individuals. </w:t>
      </w:r>
    </w:p>
    <w:p w14:paraId="3A6C71CA" w14:textId="77777777" w:rsidR="00085F44" w:rsidRPr="00743002" w:rsidRDefault="00085F44" w:rsidP="00085F44">
      <w:pPr>
        <w:spacing w:after="0" w:line="240" w:lineRule="auto"/>
        <w:rPr>
          <w:u w:val="single"/>
        </w:rPr>
      </w:pPr>
      <w:r w:rsidRPr="00743002">
        <w:rPr>
          <w:u w:val="single"/>
        </w:rPr>
        <w:t>Next time</w:t>
      </w:r>
    </w:p>
    <w:p w14:paraId="6D561AC3" w14:textId="2230F096" w:rsidR="00085F44" w:rsidRDefault="00085F44" w:rsidP="00085F44">
      <w:pPr>
        <w:spacing w:line="240" w:lineRule="auto"/>
      </w:pPr>
      <w:r>
        <w:t xml:space="preserve">For the next </w:t>
      </w:r>
      <w:r w:rsidRPr="00B56405">
        <w:rPr>
          <w:i/>
        </w:rPr>
        <w:t>Everyone Counts</w:t>
      </w:r>
      <w:r>
        <w:t xml:space="preserve"> survey, respondents are hoping for a more data-driven approach to the work as well as more freedom to respond to overarching questions. There is an identified need for increased transparency around the project.</w:t>
      </w:r>
    </w:p>
    <w:p w14:paraId="2CEEFAAE" w14:textId="77777777" w:rsidR="00CC5565" w:rsidRDefault="00CC5565" w:rsidP="00CC5565">
      <w:pPr>
        <w:spacing w:after="0"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</w:p>
    <w:p w14:paraId="05849725" w14:textId="158BBD6F" w:rsidR="000C3B9D" w:rsidRDefault="000C3B9D" w:rsidP="00CC5565">
      <w:pPr>
        <w:spacing w:after="0"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  <w:r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 xml:space="preserve">What are our next steps? </w:t>
      </w:r>
    </w:p>
    <w:p w14:paraId="61C91C5C" w14:textId="18F308FC" w:rsidR="00403D67" w:rsidRDefault="000C3B9D" w:rsidP="00862AD8">
      <w:pPr>
        <w:spacing w:line="240" w:lineRule="auto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Human Resources, specifically the EDI project team led by Lisa Robinson, will translate the survey findings and analysis into </w:t>
      </w:r>
      <w:r w:rsidR="00817EB7">
        <w:rPr>
          <w:rFonts w:eastAsia="Times New Roman" w:cs="Times New Roman"/>
          <w:lang w:val="en-CA"/>
        </w:rPr>
        <w:t xml:space="preserve">detailed </w:t>
      </w:r>
      <w:r>
        <w:rPr>
          <w:rFonts w:eastAsia="Times New Roman" w:cs="Times New Roman"/>
          <w:lang w:val="en-CA"/>
        </w:rPr>
        <w:t xml:space="preserve">action items to present to the Human Resources Governance Committee.  </w:t>
      </w:r>
      <w:r w:rsidR="00403D67">
        <w:rPr>
          <w:rFonts w:eastAsia="Times New Roman" w:cs="Times New Roman"/>
          <w:lang w:val="en-CA"/>
        </w:rPr>
        <w:t xml:space="preserve">Two </w:t>
      </w:r>
      <w:r>
        <w:rPr>
          <w:rFonts w:eastAsia="Times New Roman" w:cs="Times New Roman"/>
          <w:lang w:val="en-CA"/>
        </w:rPr>
        <w:t>key priorit</w:t>
      </w:r>
      <w:r w:rsidR="00403D67">
        <w:rPr>
          <w:rFonts w:eastAsia="Times New Roman" w:cs="Times New Roman"/>
          <w:lang w:val="en-CA"/>
        </w:rPr>
        <w:t xml:space="preserve">ies are: </w:t>
      </w:r>
      <w:r>
        <w:rPr>
          <w:rFonts w:eastAsia="Times New Roman" w:cs="Times New Roman"/>
          <w:lang w:val="en-CA"/>
        </w:rPr>
        <w:t>to ensure we increase our transparency on EDI activities</w:t>
      </w:r>
      <w:r w:rsidR="00403D67">
        <w:rPr>
          <w:rFonts w:eastAsia="Times New Roman" w:cs="Times New Roman"/>
          <w:lang w:val="en-CA"/>
        </w:rPr>
        <w:t>;</w:t>
      </w:r>
      <w:r>
        <w:rPr>
          <w:rFonts w:eastAsia="Times New Roman" w:cs="Times New Roman"/>
          <w:lang w:val="en-CA"/>
        </w:rPr>
        <w:t xml:space="preserve"> and to </w:t>
      </w:r>
      <w:r w:rsidR="00403D67">
        <w:rPr>
          <w:rFonts w:eastAsia="Times New Roman" w:cs="Times New Roman"/>
          <w:lang w:val="en-CA"/>
        </w:rPr>
        <w:t>ensure there aren’t any unintended negative consequences resulting from this important work (i.e. employees concerned for their employment with RRU).</w:t>
      </w:r>
    </w:p>
    <w:p w14:paraId="553C4E9F" w14:textId="77777777" w:rsidR="00CC5565" w:rsidRDefault="00CC5565" w:rsidP="00403D67">
      <w:pPr>
        <w:spacing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</w:p>
    <w:p w14:paraId="0C958250" w14:textId="77777777" w:rsidR="00CC5565" w:rsidRDefault="00CC5565" w:rsidP="00403D67">
      <w:pPr>
        <w:spacing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</w:p>
    <w:p w14:paraId="5BF2D4AF" w14:textId="77777777" w:rsidR="00CC5565" w:rsidRDefault="00CC5565" w:rsidP="00403D67">
      <w:pPr>
        <w:spacing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</w:p>
    <w:p w14:paraId="6D29E2B0" w14:textId="77777777" w:rsidR="00CC5565" w:rsidRDefault="00CC5565" w:rsidP="00403D67">
      <w:pPr>
        <w:spacing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</w:p>
    <w:p w14:paraId="75A7F161" w14:textId="0DD63131" w:rsidR="00403D67" w:rsidRDefault="00403D67" w:rsidP="00403D67">
      <w:pPr>
        <w:spacing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  <w:r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 xml:space="preserve">Resources </w:t>
      </w:r>
    </w:p>
    <w:p w14:paraId="2CEDAFFB" w14:textId="1E2FA4A7" w:rsidR="00CC5565" w:rsidRDefault="00403D67" w:rsidP="00862AD8">
      <w:pPr>
        <w:spacing w:line="240" w:lineRule="auto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The Equity Diversity and Inclusion </w:t>
      </w:r>
      <w:hyperlink r:id="rId9" w:history="1">
        <w:r w:rsidRPr="00403D67">
          <w:rPr>
            <w:rStyle w:val="Hyperlink"/>
            <w:rFonts w:eastAsia="Times New Roman" w:cs="Times New Roman"/>
            <w:lang w:val="en-CA"/>
          </w:rPr>
          <w:t>page</w:t>
        </w:r>
      </w:hyperlink>
      <w:r>
        <w:rPr>
          <w:rFonts w:eastAsia="Times New Roman" w:cs="Times New Roman"/>
          <w:lang w:val="en-CA"/>
        </w:rPr>
        <w:t xml:space="preserve"> on the Human Resources website will reflect all current EDI activity at RRU related to our employees</w:t>
      </w:r>
      <w:r w:rsidR="00990A46">
        <w:rPr>
          <w:rFonts w:eastAsia="Times New Roman" w:cs="Times New Roman"/>
          <w:lang w:val="en-CA"/>
        </w:rPr>
        <w:t xml:space="preserve">.  External </w:t>
      </w:r>
      <w:r>
        <w:rPr>
          <w:rFonts w:eastAsia="Times New Roman" w:cs="Times New Roman"/>
          <w:lang w:val="en-CA"/>
        </w:rPr>
        <w:t xml:space="preserve">partnerships </w:t>
      </w:r>
      <w:r w:rsidR="00990A46">
        <w:rPr>
          <w:rFonts w:eastAsia="Times New Roman" w:cs="Times New Roman"/>
          <w:lang w:val="en-CA"/>
        </w:rPr>
        <w:t xml:space="preserve">have been </w:t>
      </w:r>
      <w:r>
        <w:rPr>
          <w:rFonts w:eastAsia="Times New Roman" w:cs="Times New Roman"/>
          <w:lang w:val="en-CA"/>
        </w:rPr>
        <w:t xml:space="preserve">established with the </w:t>
      </w:r>
      <w:hyperlink r:id="rId10" w:history="1">
        <w:r w:rsidRPr="00403D67">
          <w:rPr>
            <w:rStyle w:val="Hyperlink"/>
            <w:rFonts w:eastAsia="Times New Roman" w:cs="Times New Roman"/>
            <w:lang w:val="en-CA"/>
          </w:rPr>
          <w:t>Canadian Centre for Diversity and Inclusion</w:t>
        </w:r>
      </w:hyperlink>
      <w:r>
        <w:rPr>
          <w:rFonts w:eastAsia="Times New Roman" w:cs="Times New Roman"/>
          <w:lang w:val="en-CA"/>
        </w:rPr>
        <w:t xml:space="preserve"> and</w:t>
      </w:r>
      <w:r w:rsidR="00942259">
        <w:rPr>
          <w:rFonts w:eastAsia="Times New Roman" w:cs="Times New Roman"/>
          <w:lang w:val="en-CA"/>
        </w:rPr>
        <w:t xml:space="preserve"> the</w:t>
      </w:r>
      <w:r>
        <w:rPr>
          <w:rFonts w:eastAsia="Times New Roman" w:cs="Times New Roman"/>
          <w:lang w:val="en-CA"/>
        </w:rPr>
        <w:t xml:space="preserve"> </w:t>
      </w:r>
      <w:hyperlink r:id="rId11" w:history="1">
        <w:r w:rsidRPr="00CC5565">
          <w:rPr>
            <w:rStyle w:val="Hyperlink"/>
            <w:rFonts w:eastAsia="Times New Roman" w:cs="Times New Roman"/>
            <w:lang w:val="en-CA"/>
          </w:rPr>
          <w:t>Pride at Work Canada</w:t>
        </w:r>
      </w:hyperlink>
      <w:r w:rsidR="00CC5565">
        <w:rPr>
          <w:rFonts w:eastAsia="Times New Roman" w:cs="Times New Roman"/>
          <w:lang w:val="en-CA"/>
        </w:rPr>
        <w:t xml:space="preserve"> organization</w:t>
      </w:r>
      <w:r w:rsidR="00942259">
        <w:rPr>
          <w:rFonts w:eastAsia="Times New Roman" w:cs="Times New Roman"/>
          <w:lang w:val="en-CA"/>
        </w:rPr>
        <w:t>.  B</w:t>
      </w:r>
      <w:bookmarkStart w:id="0" w:name="_GoBack"/>
      <w:bookmarkEnd w:id="0"/>
      <w:r w:rsidR="00990A46">
        <w:rPr>
          <w:rFonts w:eastAsia="Times New Roman" w:cs="Times New Roman"/>
          <w:lang w:val="en-CA"/>
        </w:rPr>
        <w:t xml:space="preserve">oth offer a wealth of resources to RRU employees.  </w:t>
      </w:r>
    </w:p>
    <w:p w14:paraId="5C50DEC2" w14:textId="77777777" w:rsidR="00990A46" w:rsidRDefault="00990A46" w:rsidP="00862AD8">
      <w:pPr>
        <w:spacing w:line="240" w:lineRule="auto"/>
        <w:rPr>
          <w:rFonts w:eastAsia="Times New Roman" w:cs="Times New Roman"/>
          <w:lang w:val="en-CA"/>
        </w:rPr>
      </w:pPr>
    </w:p>
    <w:p w14:paraId="2E5A83D3" w14:textId="77AC6D65" w:rsidR="00B515C3" w:rsidRDefault="00B515C3" w:rsidP="00862AD8">
      <w:pPr>
        <w:spacing w:line="240" w:lineRule="auto"/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</w:pPr>
      <w:r>
        <w:rPr>
          <w:rFonts w:asciiTheme="majorHAnsi" w:eastAsiaTheme="majorEastAsia" w:hAnsiTheme="majorHAnsi" w:cs="Times New Roman"/>
          <w:b/>
          <w:bCs/>
          <w:color w:val="4F81BD" w:themeColor="accent1"/>
          <w:lang w:val="en-CA"/>
        </w:rPr>
        <w:t>Reference list</w:t>
      </w:r>
    </w:p>
    <w:p w14:paraId="4390E685" w14:textId="77777777" w:rsidR="00B515C3" w:rsidRDefault="00B515C3" w:rsidP="00B515C3">
      <w:r>
        <w:t xml:space="preserve">Braun, V. &amp; Clarke, V. (2006). Using thematic analysis in psychology, </w:t>
      </w:r>
      <w:r>
        <w:rPr>
          <w:i/>
          <w:iCs/>
        </w:rPr>
        <w:t>Qualitative Research in Psychology, 3</w:t>
      </w:r>
      <w:r>
        <w:t xml:space="preserve">:2, 77-101. Retrieved from </w:t>
      </w:r>
      <w:hyperlink r:id="rId12" w:history="1">
        <w:r>
          <w:rPr>
            <w:rStyle w:val="Hyperlink"/>
          </w:rPr>
          <w:t>https://www.tandfonline.com/doi/pdf/10.1191/1478088706qp063oa?needAccess=true</w:t>
        </w:r>
      </w:hyperlink>
    </w:p>
    <w:p w14:paraId="42499774" w14:textId="4E639ADE" w:rsidR="00B515C3" w:rsidRPr="00862AD8" w:rsidRDefault="00B515C3" w:rsidP="00403D67">
      <w:pPr>
        <w:rPr>
          <w:rFonts w:eastAsia="Times New Roman" w:cs="Times New Roman"/>
          <w:lang w:val="en-CA"/>
        </w:rPr>
      </w:pPr>
      <w:r>
        <w:t xml:space="preserve">Vaismoradi, M., Turunen, H., &amp; Bondas, T. (2013). Qualitative descriptive study. </w:t>
      </w:r>
      <w:r>
        <w:rPr>
          <w:i/>
          <w:iCs/>
        </w:rPr>
        <w:t>Nursing Health Science, 15</w:t>
      </w:r>
      <w:r>
        <w:t xml:space="preserve">: 398-405. Retrieved from </w:t>
      </w:r>
      <w:hyperlink r:id="rId13" w:history="1">
        <w:r>
          <w:rPr>
            <w:rStyle w:val="Hyperlink"/>
          </w:rPr>
          <w:t>https://onlinelibrary.wiley.com/doi/epdf/10.1111/nhs.12048</w:t>
        </w:r>
      </w:hyperlink>
    </w:p>
    <w:sectPr w:rsidR="00B515C3" w:rsidRPr="00862AD8" w:rsidSect="002647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720" w:right="1008" w:bottom="835" w:left="1008" w:header="70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F256" w14:textId="77777777" w:rsidR="006166DC" w:rsidRDefault="006166DC" w:rsidP="0026478D">
      <w:pPr>
        <w:spacing w:after="0" w:line="240" w:lineRule="auto"/>
      </w:pPr>
      <w:r>
        <w:separator/>
      </w:r>
    </w:p>
  </w:endnote>
  <w:endnote w:type="continuationSeparator" w:id="0">
    <w:p w14:paraId="731A3994" w14:textId="77777777" w:rsidR="006166DC" w:rsidRDefault="006166DC" w:rsidP="0026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5E93" w14:textId="77777777" w:rsidR="006166DC" w:rsidRDefault="0061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6960" w14:textId="20847FA7" w:rsidR="006166DC" w:rsidRDefault="006166DC" w:rsidP="00514C2B">
    <w:pPr>
      <w:pStyle w:val="Footer"/>
      <w:pBdr>
        <w:top w:val="single" w:sz="4" w:space="1" w:color="D9D9D9" w:themeColor="background1" w:themeShade="D9"/>
      </w:pBdr>
    </w:pPr>
    <w:r>
      <w:rPr>
        <w:noProof/>
      </w:rPr>
      <w:t xml:space="preserve">Everyone Counts EDI survey May 2019 – Survey analysis </w:t>
    </w:r>
    <w:r>
      <w:rPr>
        <w:noProof/>
      </w:rPr>
      <w:tab/>
      <w:t xml:space="preserve">    </w:t>
    </w:r>
    <w:sdt>
      <w:sdtPr>
        <w:id w:val="4896904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0BE33B8" w14:textId="77777777" w:rsidR="006166DC" w:rsidRDefault="00616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E107" w14:textId="77777777" w:rsidR="006166DC" w:rsidRDefault="0061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E008" w14:textId="77777777" w:rsidR="006166DC" w:rsidRDefault="006166DC" w:rsidP="0026478D">
      <w:pPr>
        <w:spacing w:after="0" w:line="240" w:lineRule="auto"/>
      </w:pPr>
      <w:r>
        <w:separator/>
      </w:r>
    </w:p>
  </w:footnote>
  <w:footnote w:type="continuationSeparator" w:id="0">
    <w:p w14:paraId="5D07EC3A" w14:textId="77777777" w:rsidR="006166DC" w:rsidRDefault="006166DC" w:rsidP="0026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1C36" w14:textId="77777777" w:rsidR="006166DC" w:rsidRDefault="0061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087A" w14:textId="77777777" w:rsidR="006166DC" w:rsidRDefault="00616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6F29" w14:textId="77777777" w:rsidR="006166DC" w:rsidRDefault="0061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EF5"/>
    <w:multiLevelType w:val="hybridMultilevel"/>
    <w:tmpl w:val="2ED88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34F"/>
    <w:multiLevelType w:val="hybridMultilevel"/>
    <w:tmpl w:val="56BC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2E9D"/>
    <w:multiLevelType w:val="hybridMultilevel"/>
    <w:tmpl w:val="D83A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4B28"/>
    <w:multiLevelType w:val="hybridMultilevel"/>
    <w:tmpl w:val="FD6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4E43"/>
    <w:multiLevelType w:val="hybridMultilevel"/>
    <w:tmpl w:val="5FB4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514"/>
    <w:multiLevelType w:val="hybridMultilevel"/>
    <w:tmpl w:val="DCE2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819"/>
    <w:multiLevelType w:val="hybridMultilevel"/>
    <w:tmpl w:val="B426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1B12"/>
    <w:multiLevelType w:val="hybridMultilevel"/>
    <w:tmpl w:val="7C8E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D8"/>
    <w:rsid w:val="00085F44"/>
    <w:rsid w:val="000C3B9D"/>
    <w:rsid w:val="000D03A1"/>
    <w:rsid w:val="0014759C"/>
    <w:rsid w:val="002279D3"/>
    <w:rsid w:val="0026478D"/>
    <w:rsid w:val="003D1DFE"/>
    <w:rsid w:val="00403D67"/>
    <w:rsid w:val="004E7074"/>
    <w:rsid w:val="00514C2B"/>
    <w:rsid w:val="005404F5"/>
    <w:rsid w:val="00561FD3"/>
    <w:rsid w:val="005E1870"/>
    <w:rsid w:val="005F7871"/>
    <w:rsid w:val="006166DC"/>
    <w:rsid w:val="00811FBE"/>
    <w:rsid w:val="00817EB7"/>
    <w:rsid w:val="0085347D"/>
    <w:rsid w:val="00862AD8"/>
    <w:rsid w:val="00864FCE"/>
    <w:rsid w:val="00920E7E"/>
    <w:rsid w:val="00942259"/>
    <w:rsid w:val="00980C08"/>
    <w:rsid w:val="00990A46"/>
    <w:rsid w:val="00996589"/>
    <w:rsid w:val="00A3376E"/>
    <w:rsid w:val="00A94EA7"/>
    <w:rsid w:val="00B515C3"/>
    <w:rsid w:val="00B56405"/>
    <w:rsid w:val="00CC5565"/>
    <w:rsid w:val="00CF651B"/>
    <w:rsid w:val="00D1250A"/>
    <w:rsid w:val="00D74D27"/>
    <w:rsid w:val="00DA1F46"/>
    <w:rsid w:val="00E30A31"/>
    <w:rsid w:val="00E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0E7D1F"/>
  <w15:docId w15:val="{19FC00D9-5ED7-4029-9E39-2699969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D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AD8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AD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862AD8"/>
    <w:rPr>
      <w:rFonts w:asciiTheme="majorHAnsi" w:eastAsiaTheme="majorEastAsia" w:hAnsiTheme="majorHAnsi" w:cs="Times New Roman"/>
      <w:b/>
      <w:bCs/>
      <w:color w:val="4F81BD" w:themeColor="accent1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862AD8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2AD8"/>
    <w:rPr>
      <w:rFonts w:ascii="New York" w:eastAsia="Times New Roman" w:hAnsi="New York" w:cs="Times New Roman"/>
      <w:sz w:val="24"/>
      <w:szCs w:val="20"/>
    </w:rPr>
  </w:style>
  <w:style w:type="table" w:styleId="TableGrid">
    <w:name w:val="Table Grid"/>
    <w:basedOn w:val="TableNormal"/>
    <w:uiPriority w:val="59"/>
    <w:rsid w:val="00862AD8"/>
    <w:pPr>
      <w:spacing w:after="0" w:line="240" w:lineRule="auto"/>
    </w:pPr>
    <w:rPr>
      <w:rFonts w:eastAsia="Times New Roman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8D"/>
  </w:style>
  <w:style w:type="paragraph" w:styleId="Footer">
    <w:name w:val="footer"/>
    <w:basedOn w:val="Normal"/>
    <w:link w:val="FooterChar"/>
    <w:uiPriority w:val="99"/>
    <w:unhideWhenUsed/>
    <w:rsid w:val="0026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8D"/>
  </w:style>
  <w:style w:type="character" w:styleId="Hyperlink">
    <w:name w:val="Hyperlink"/>
    <w:basedOn w:val="DefaultParagraphFont"/>
    <w:uiPriority w:val="99"/>
    <w:unhideWhenUsed/>
    <w:rsid w:val="00B515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nlinelibrary.wiley.com/doi/epdf/10.1111/nhs.1204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tandfonline.com/doi/pdf/10.1191/1478088706qp063oa?needAccess=tru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deatwork.c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cdi.c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humanresources.royalroads.ca/equity-diversity-and-inclusion-r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Royal Roads University</dc:creator>
  <cp:lastModifiedBy>Lisa 2robinson</cp:lastModifiedBy>
  <cp:revision>23</cp:revision>
  <cp:lastPrinted>2019-07-29T15:02:00Z</cp:lastPrinted>
  <dcterms:created xsi:type="dcterms:W3CDTF">2019-09-27T18:44:00Z</dcterms:created>
  <dcterms:modified xsi:type="dcterms:W3CDTF">2019-09-27T21:56:00Z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